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Bonged Out! IP Delivery Archive Structure</w:t>
      </w:r>
    </w:p>
    <w:p>
      <w:r>
        <w:t>This document outlines the official asset delivery structure for the Bonged Out! brand lease package. It is formatted as a turnkey IP transfer archive for secure onboarding, operator autonomy, and future audit integrity. This structure supports nested scalability for cultural sub‑brands, limited‑run media capsules, retained variants, and future brand evolutions.</w:t>
        <w:br/>
        <w:br/>
        <w:t>Everything included here represents the core Bonged Out! IP foundation, prepared for immediate deployment by an operator under the approved lease terms.</w:t>
      </w:r>
    </w:p>
    <w:p>
      <w:pPr>
        <w:pStyle w:val="Heading2"/>
      </w:pPr>
      <w:r>
        <w:t>Root Delivery Folder Structure</w:t>
      </w:r>
    </w:p>
    <w:p>
      <w:r>
        <w:t>/BongedOut_IP_Package</w:t>
        <w:br/>
        <w:t xml:space="preserve">   /Brand_Foundation</w:t>
        <w:br/>
        <w:t xml:space="preserve">   /Creative_Assets</w:t>
        <w:br/>
        <w:t xml:space="preserve">   /Launch_Systems</w:t>
        <w:br/>
        <w:t xml:space="preserve">   /Content_Starters</w:t>
        <w:br/>
        <w:t xml:space="preserve">   /Communications_Kits</w:t>
        <w:br/>
        <w:t xml:space="preserve">   /Operational_Guides</w:t>
        <w:br/>
        <w:t xml:space="preserve">   /Legal_and_Licensing</w:t>
        <w:br/>
        <w:t xml:space="preserve">   /Support_and_Continuity</w:t>
      </w:r>
    </w:p>
    <w:p>
      <w:pPr>
        <w:pStyle w:val="Heading2"/>
      </w:pPr>
      <w:r>
        <w:t>Brand Foundation Assets</w:t>
      </w:r>
    </w:p>
    <w:p>
      <w:r>
        <w:t>• Master brand statement</w:t>
        <w:br/>
        <w:t>• Cultural thesis</w:t>
        <w:br/>
        <w:t>• Core value pillars</w:t>
        <w:br/>
        <w:t>• Audience + psychographic framework</w:t>
        <w:br/>
        <w:t>• Approved language guide</w:t>
        <w:br/>
        <w:t>• Do‑not‑use list to protect tone integrity</w:t>
      </w:r>
    </w:p>
    <w:p>
      <w:pPr>
        <w:pStyle w:val="Heading2"/>
      </w:pPr>
      <w:r>
        <w:t>Visual Identity Package</w:t>
      </w:r>
    </w:p>
    <w:p>
      <w:r>
        <w:t>• Logo files (PNG/SVG)</w:t>
        <w:br/>
        <w:t>• Alternate stamp textures</w:t>
        <w:br/>
        <w:t>• Typography presets</w:t>
        <w:br/>
        <w:t>• Color palette reference</w:t>
        <w:br/>
        <w:t>• Brand texture library (grain, film noise, overlays)</w:t>
        <w:br/>
        <w:t>• Lower‑thirds + social frame templates</w:t>
      </w:r>
    </w:p>
    <w:p>
      <w:pPr>
        <w:pStyle w:val="Heading2"/>
      </w:pPr>
      <w:r>
        <w:t>Launch Systems</w:t>
      </w:r>
    </w:p>
    <w:p>
      <w:r>
        <w:t>• Launch calendar structure</w:t>
        <w:br/>
        <w:t>• Content theme cycles</w:t>
        <w:br/>
        <w:t>• Viral cadence playbook</w:t>
        <w:br/>
        <w:t>• First 60‑day operator checklist</w:t>
        <w:br/>
        <w:t>• Meme engine starter pack</w:t>
        <w:br/>
        <w:t>• Short‑format editorial scripts (10)</w:t>
        <w:br/>
        <w:t>• Intro/outro sting audio files</w:t>
      </w:r>
    </w:p>
    <w:p>
      <w:pPr>
        <w:pStyle w:val="Heading2"/>
      </w:pPr>
      <w:r>
        <w:t>Content Starters</w:t>
      </w:r>
    </w:p>
    <w:p>
      <w:r>
        <w:t>• 50 meme templates</w:t>
        <w:br/>
        <w:t>• 30 short scripts</w:t>
        <w:br/>
        <w:t>• 15 commentary prompts</w:t>
        <w:br/>
        <w:t>• 50 caption hooks + comedic setups</w:t>
        <w:br/>
        <w:t>• 100‑post content tree</w:t>
        <w:br/>
        <w:t>• Audio stinger kit</w:t>
        <w:br/>
        <w:t>• Short edit soundboard</w:t>
      </w:r>
    </w:p>
    <w:p>
      <w:pPr>
        <w:pStyle w:val="Heading2"/>
      </w:pPr>
      <w:r>
        <w:t>Operational Docs</w:t>
      </w:r>
    </w:p>
    <w:p>
      <w:r>
        <w:t>• Operator Handbook</w:t>
        <w:br/>
        <w:t>• Brand Purpose Charter</w:t>
        <w:br/>
        <w:t>• Content governance rules</w:t>
        <w:br/>
        <w:t>• Media rights and usage limits</w:t>
        <w:br/>
        <w:t>• Brand tone compliance reference</w:t>
      </w:r>
    </w:p>
    <w:p>
      <w:pPr>
        <w:pStyle w:val="Heading2"/>
      </w:pPr>
      <w:r>
        <w:t>Legal + Licensing Contents</w:t>
      </w:r>
    </w:p>
    <w:p>
      <w:r>
        <w:t>• Brand lease certificate</w:t>
        <w:br/>
        <w:t>• Usage rights confirmation</w:t>
        <w:br/>
        <w:t>• Trademark + name rights documentation</w:t>
        <w:br/>
        <w:t>• Non‑transferability clause summary</w:t>
        <w:br/>
        <w:t>• Renewal + purchase options summary</w:t>
        <w:br/>
        <w:t>• Confidential creative archive protections</w:t>
      </w:r>
    </w:p>
    <w:p>
      <w:pPr>
        <w:pStyle w:val="Heading2"/>
      </w:pPr>
      <w:r>
        <w:t>Support + Continuity</w:t>
      </w:r>
    </w:p>
    <w:p>
      <w:r>
        <w:t>• Success path guide</w:t>
        <w:br/>
        <w:t>• Operator Q&amp;A log structure</w:t>
        <w:br/>
        <w:t>• CrownThrive escalation emails</w:t>
        <w:br/>
        <w:t>• Creative asset replacement request path</w:t>
        <w:br/>
        <w:t>• Backup media protocol notes</w:t>
      </w:r>
    </w:p>
    <w:p>
      <w:pPr>
        <w:pStyle w:val="Heading2"/>
      </w:pPr>
      <w:r>
        <w:t>Format Standards</w:t>
      </w:r>
    </w:p>
    <w:p>
      <w:r>
        <w:t>File delivery format:</w:t>
        <w:br/>
        <w:t>- zip archive</w:t>
        <w:br/>
        <w:t>- structured folders</w:t>
        <w:br/>
        <w:t>- master PDF index</w:t>
        <w:br/>
        <w:t>- operator onboarding doc</w:t>
        <w:br/>
        <w:t>- brand DNA sheet</w:t>
      </w:r>
    </w:p>
    <w:p>
      <w:pPr>
        <w:pStyle w:val="Heading2"/>
      </w:pPr>
      <w:r>
        <w:t>Final Operator Notes</w:t>
      </w:r>
    </w:p>
    <w:p>
      <w:r>
        <w:t>This archive enables a new operator to:</w:t>
        <w:br/>
        <w:t>• Launch in under 30 days</w:t>
        <w:br/>
        <w:t>• Maintain narrative purity</w:t>
        <w:br/>
        <w:t>• Scale content output quickly</w:t>
        <w:br/>
        <w:t>• Build a distinct audience</w:t>
        <w:br/>
        <w:t>• Protect the cultural positioning of the brand</w:t>
        <w:br/>
        <w:br/>
        <w:t>This is a living IP structure prepared for early‑stage adoption and cultural scaling.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