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Out™ Lease Agreement &amp; Equity Addendum</w:t>
      </w:r>
    </w:p>
    <w:p>
      <w:r>
        <w:t>1. Overview</w:t>
        <w:br/>
        <w:t>This document serves as the formal lease agreement and equity participation addendum for the Bonged Out™ brand under CrownThrive, LLC.</w:t>
      </w:r>
    </w:p>
    <w:p>
      <w:r>
        <w:t>2. License Term</w:t>
        <w:br/>
        <w:t>24‑month non‑renewable brand license. Operator must buy out or relinquish brand use at term completion.</w:t>
      </w:r>
    </w:p>
    <w:p>
      <w:r>
        <w:t>3. License Structure</w:t>
        <w:br/>
        <w:t>— Standard Lease: $50,000</w:t>
        <w:br/>
        <w:t>— Equity Path Lease: $40,000 + 10% equity to CrownThrive</w:t>
        <w:br/>
        <w:t>Equity triggers discount and incubator integration.</w:t>
      </w:r>
    </w:p>
    <w:p>
      <w:r>
        <w:t>4. Equity Participation</w:t>
        <w:br/>
        <w:t>Licensee electing equity path agrees CrownThrive receives a 10% non‑dilutable equity interest in the operator entity executing Bonged Out™.</w:t>
      </w:r>
    </w:p>
    <w:p>
      <w:r>
        <w:t>5. Support &amp; Ecosystem Benefits</w:t>
        <w:br/>
        <w:t>Two years of access to CrownThrive platforms, incubator support, creative services credits, and analytics ecosystem.</w:t>
      </w:r>
    </w:p>
    <w:p>
      <w:r>
        <w:t>6. Brand Materials Delivery</w:t>
        <w:br/>
        <w:t>CrownThrive will provide approved brand kits, logo assets, messaging framework, content guides, and starter media templates.</w:t>
      </w:r>
    </w:p>
    <w:p>
      <w:r>
        <w:t>7. Ownership</w:t>
        <w:br/>
        <w:t>Lease grants usage rights only. Full IP remains property of CrownThrive unless buyout executed.</w:t>
      </w:r>
    </w:p>
    <w:p>
      <w:r>
        <w:t>8. Buyout Rights</w:t>
        <w:br/>
        <w:t>Standard buyout: $150,000</w:t>
        <w:br/>
        <w:t>Equity‑path buyout: $120,000</w:t>
        <w:br/>
        <w:t>Payable anytime before end of term.</w:t>
      </w:r>
    </w:p>
    <w:p>
      <w:r>
        <w:t>9. Independence Clause</w:t>
        <w:br/>
        <w:t>Operator maintains 100% business autonomy in execution, supply chain, pricing, creative direction, and distribution.</w:t>
      </w:r>
    </w:p>
    <w:p>
      <w:r>
        <w:t>10. Brand Integrity</w:t>
        <w:br/>
        <w:t>Licensee agrees to uphold brand tone, cultural positioning, and social image. Misrepresentation or dilution may result in termination.</w:t>
      </w:r>
    </w:p>
    <w:p>
      <w:r>
        <w:t>11. Conduct Standards</w:t>
        <w:br/>
        <w:t>No hate‑based, illegal, defamatory, or harmful activity tied to the brand.</w:t>
      </w:r>
    </w:p>
    <w:p>
      <w:r>
        <w:t>12. Termination Conditions</w:t>
        <w:br/>
        <w:t>Violation of brand integrity, illegal activity, or breach of agreement may trigger termination.</w:t>
      </w:r>
    </w:p>
    <w:p>
      <w:r>
        <w:t>13. CHLOM Future Rights</w:t>
        <w:br/>
        <w:t>Upon CHLOM LEX rollout, operator receives a guaranteed listing lane, discounted onboarding, and early compliance rights.</w:t>
      </w:r>
    </w:p>
    <w:p>
      <w:r>
        <w:t>14. No Franchise Clause</w:t>
        <w:br/>
        <w:t>This agreement does not constitute a franchise or agency relationship. No mandated operations or royalty structure.</w:t>
      </w:r>
    </w:p>
    <w:p>
      <w:r>
        <w:t>15. Signatures</w:t>
        <w:br/>
        <w:t>Parties affirm agreement to terms stated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