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Bonged Out™ Brand Licensing Agreement</w:t>
      </w:r>
    </w:p>
    <w:p>
      <w:r>
        <w:t>1. Parties</w:t>
        <w:br/>
        <w:t>This Brand Licensing Agreement is entered into between CrownThrive, LLC (Licensor) and the Accepted Operator (Licensee).</w:t>
      </w:r>
    </w:p>
    <w:p>
      <w:r>
        <w:t>2. Purpose</w:t>
        <w:br/>
        <w:t>This agreement grants the Licensee rights to operate the Bonged Out™ brand under a limited 24‑month IP license with optional equity participation benefits.</w:t>
      </w:r>
    </w:p>
    <w:p>
      <w:r>
        <w:t>3. Grant of License</w:t>
        <w:br/>
        <w:t>Licensor grants a non‑exclusive, non‑transferable, revocable license to use Bonged Out™ trademarks, branding assets, and creative identity systems for independent commercial execution.</w:t>
      </w:r>
    </w:p>
    <w:p>
      <w:r>
        <w:t>4. Term</w:t>
        <w:br/>
        <w:t>24 months. No renewal; Licensee must buy‑out IP or sunset brand usage.</w:t>
      </w:r>
    </w:p>
    <w:p>
      <w:r>
        <w:t>5. Compensation</w:t>
        <w:br/>
        <w:t>Standard License Fee: $50,000.</w:t>
        <w:br/>
        <w:t>Equity Path License: $40,000 + 10% equity to CrownThrive.</w:t>
        <w:br/>
        <w:t>Payment schedule and accepted methods to be appended.</w:t>
      </w:r>
    </w:p>
    <w:p>
      <w:r>
        <w:t>6. Support</w:t>
        <w:br/>
        <w:t>Licensor provides two years of incubator support, platform discounts, creative credits, and CrownThrive ecosystem access.</w:t>
      </w:r>
    </w:p>
    <w:p>
      <w:r>
        <w:t>7. Intellectual Property</w:t>
        <w:br/>
        <w:t>All IP remains sole property of CrownThrive until full buyout. Unauthorized duplication, transfer, or dilution prohibited.</w:t>
      </w:r>
    </w:p>
    <w:p>
      <w:r>
        <w:t>8. Autonomy Clause</w:t>
        <w:br/>
        <w:t>Licensee retains full operational control including supply, marketing, pricing, and distribution.</w:t>
      </w:r>
    </w:p>
    <w:p>
      <w:r>
        <w:t>9. Brand Integrity</w:t>
        <w:br/>
        <w:t>Licensee agrees to uphold brand standards and cultural positioning. Misuse, harmful association, or dilution may result in termination.</w:t>
      </w:r>
    </w:p>
    <w:p>
      <w:r>
        <w:t>10. Future Integration</w:t>
        <w:br/>
        <w:t>Licensee receives reserved access to future CHLOM LEX IP tokenization pathways upon launch.</w:t>
      </w:r>
    </w:p>
    <w:p>
      <w:r>
        <w:t>11. Termination</w:t>
        <w:br/>
        <w:t>Licensor may revoke license only for brand abuse, IP misuse, legal violations, hate activity, or ethical breach.</w:t>
      </w:r>
    </w:p>
    <w:p>
      <w:r>
        <w:t>12. Buyout Option</w:t>
        <w:br/>
        <w:t>Non‑Equity Buyout: $150,000.</w:t>
        <w:br/>
        <w:t>Equity Path Buyout: $120,000.</w:t>
        <w:br/>
        <w:t>Buyout transfers full brand ownership and IP.</w:t>
      </w:r>
    </w:p>
    <w:p>
      <w:r>
        <w:t>13. Independent Entity</w:t>
        <w:br/>
        <w:t>Parties agree this is not a franchise, partnership, employment, or joint venture.</w:t>
      </w:r>
    </w:p>
    <w:p>
      <w:r>
        <w:t>14. Disclaimers</w:t>
        <w:br/>
        <w:t>No profit guarantee. Business success dependent upon operator execution.</w:t>
      </w:r>
    </w:p>
    <w:p>
      <w:r>
        <w:t>15. Signatures</w:t>
        <w:br/>
        <w:t>Executed by mutual agreement.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